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附件1:</w:t>
      </w:r>
    </w:p>
    <w:p>
      <w:pPr>
        <w:jc w:val="center"/>
        <w:rPr>
          <w:rFonts w:hint="eastAsia" w:ascii="方正小标宋_GBK" w:eastAsia="方正小标宋_GBK"/>
          <w:sz w:val="44"/>
          <w:szCs w:val="44"/>
        </w:rPr>
      </w:pPr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云山街道2016年度城乡建设（防震减灾）、住房保障和物业管理考评目录</w:t>
      </w:r>
    </w:p>
    <w:p>
      <w:pPr>
        <w:jc w:val="center"/>
        <w:rPr>
          <w:rFonts w:ascii="方正小标宋_GBK" w:eastAsia="方正小标宋_GBK"/>
          <w:sz w:val="44"/>
          <w:szCs w:val="44"/>
        </w:rPr>
      </w:pPr>
    </w:p>
    <w:p>
      <w:pPr>
        <w:ind w:firstLine="640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一、城乡建设（防震减灾）··················100分</w:t>
      </w:r>
    </w:p>
    <w:p>
      <w:pPr>
        <w:ind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（一）、城市建设：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··························· 40 分</w:t>
      </w:r>
    </w:p>
    <w:p>
      <w:pPr>
        <w:ind w:firstLine="480" w:firstLineChars="1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1、完成平山部分村民燃气管道安装。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2、实施生活污水接管工程，云山污水提升泵站投入运营，实施云山街道生活污水接入墟沟污水处理厂，杜绝生活污水直排北排淡河。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3、建成并投运老君堂紫菜加工片区废水集中处理设施。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4、实施云山街道村庄路灯全覆盖工程，新装路灯150盏。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5、完成新改建背街小巷3条。</w:t>
      </w:r>
    </w:p>
    <w:p>
      <w:pPr>
        <w:ind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（二）、防震减灾</w:t>
      </w:r>
      <w:r>
        <w:rPr>
          <w:rFonts w:hint="eastAsia" w:ascii="黑体" w:hAnsi="黑体" w:eastAsia="黑体"/>
          <w:sz w:val="32"/>
          <w:szCs w:val="32"/>
        </w:rPr>
        <w:t>·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·························· 20 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1、将“防震减灾”纳入绩效目标综合考核体系,强化对防震减灾工作目标考核。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2、认真执行防震减灾工作联席会议制度，至少召开1次联席会议或工作会议，研究解决防震减灾工作中的重要问题。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3、积极开展防震减灾示范企业创建工作。 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4、把防震减灾知识宣传纳入各级领导干部和公务员培训计划，落实到乡（镇）、街道、村基层干部培训日程及党校培训课程；利用“5.12”防灾减灾日、“科普宣传周”、“7.28”唐山地震纪念日、“国际减灾日”等重要节点，开展有特色的防震减灾知识宣传及地震法律法规主题宣传活动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5、强力推进防震减灾知识宣传进乡村、进社区、进家庭、进企业工作，确保乡、村、社区有画面、有声音，切实提高公众防震减灾知识和应对地震灾害自救互救能力。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6、加大对群测群防投入，完善防震减灾“三网一员”建设，强化管理。新建1个宏观测报点，开展观测和记录；加强对已建宏观测报点保护及运行管理。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7、编制应急避难场所疏散和安置预案，组织疏散演练。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、结合实际制定并落实本年度地震应急准备工作方案；完成本级联席会议成员单位、生命线工程单位、次生灾害源单位、学校、医院、乡（镇）、街道、村（社区）地震应急预案修订工作并上报备案；并督促本辖区部门和单位开展地震应急预案演练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9、完善街道防震减灾志愿者队伍建设，登记注册，强化培训和演练。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10、建立并落实应急管理责任制；强化应急检查，开展1次辖区范围内的地震应急综合检查；开展1次地震应急桌面演练和综合演练；组织生命线工程单位、次生灾害源单位开展应急疏散演练。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11、及时处置有感地震及地震谣传事件；实行宏观异常周零报告制度，发现宏观异常及时落实并上报。</w:t>
      </w:r>
    </w:p>
    <w:p>
      <w:pPr>
        <w:ind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（三）、村镇建设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·························   20 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1、村庄环境整治长效管理。</w:t>
      </w:r>
    </w:p>
    <w:p>
      <w:pPr>
        <w:ind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（四）、绿化建设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·························   10 分</w:t>
      </w:r>
    </w:p>
    <w:p>
      <w:pPr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1、至少完成1个小游园建设。</w:t>
      </w:r>
    </w:p>
    <w:p>
      <w:pPr>
        <w:ind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（五）、拆迁管理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··························  10 分</w:t>
      </w:r>
    </w:p>
    <w:p>
      <w:pPr>
        <w:overflowPunct w:val="0"/>
        <w:autoSpaceDE w:val="0"/>
        <w:autoSpaceDN w:val="0"/>
        <w:ind w:firstLine="640" w:firstLineChars="200"/>
        <w:rPr>
          <w:rFonts w:hint="eastAsia" w:eastAsia="仿宋_GB2312"/>
          <w:sz w:val="32"/>
          <w:szCs w:val="32"/>
        </w:rPr>
      </w:pPr>
      <w:bookmarkStart w:id="0" w:name="_GoBack"/>
      <w:r>
        <w:rPr>
          <w:rFonts w:hint="eastAsia"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、配合做好云山小学地块征收及工程建设推进和协调</w:t>
      </w:r>
      <w:bookmarkEnd w:id="0"/>
      <w:r>
        <w:rPr>
          <w:rFonts w:eastAsia="仿宋_GB2312"/>
          <w:sz w:val="32"/>
          <w:szCs w:val="32"/>
        </w:rPr>
        <w:t>服务工作</w:t>
      </w:r>
      <w:r>
        <w:rPr>
          <w:rFonts w:hint="eastAsia" w:eastAsia="仿宋_GB2312"/>
          <w:sz w:val="32"/>
          <w:szCs w:val="32"/>
        </w:rPr>
        <w:t>。</w:t>
      </w:r>
    </w:p>
    <w:p>
      <w:pPr>
        <w:overflowPunct w:val="0"/>
        <w:autoSpaceDE w:val="0"/>
        <w:autoSpaceDN w:val="0"/>
        <w:ind w:firstLine="640" w:firstLineChars="200"/>
        <w:rPr>
          <w:rFonts w:hint="eastAsia" w:eastAsia="仿宋_GB2312"/>
          <w:sz w:val="32"/>
          <w:szCs w:val="32"/>
        </w:rPr>
      </w:pP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二、住房保障和物业管理··············· 100  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1、进一步健全和完善住房保障和物业管理服务窗口,落实工作机构和人员,规范窗口服务行为;</w:t>
      </w:r>
      <w:r>
        <w:rPr>
          <w:rFonts w:hint="eastAsia" w:ascii="楷体_GB2312" w:hAnsi="黑体" w:eastAsia="楷体_GB2312"/>
          <w:sz w:val="32"/>
          <w:szCs w:val="32"/>
        </w:rPr>
        <w:t xml:space="preserve"> ···········</w:t>
      </w:r>
      <w:r>
        <w:rPr>
          <w:rFonts w:hint="eastAsia" w:ascii="仿宋_GB2312" w:eastAsia="仿宋_GB2312"/>
          <w:sz w:val="32"/>
          <w:szCs w:val="32"/>
        </w:rPr>
        <w:t xml:space="preserve"> 25分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2、保障性住房应保尽保; 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</w:t>
      </w:r>
      <w:r>
        <w:rPr>
          <w:rFonts w:hint="eastAsia" w:ascii="仿宋_GB2312" w:eastAsia="仿宋_GB2312"/>
          <w:sz w:val="32"/>
          <w:szCs w:val="32"/>
        </w:rPr>
        <w:t>15分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3、建立房屋安全运行机制,制定危旧房解危计划,落实房屋安全管理措施,完善房屋档案资料,确保房屋安全无责任事故;</w:t>
      </w:r>
      <w:r>
        <w:rPr>
          <w:rFonts w:hint="eastAsia" w:ascii="楷体_GB2312" w:hAnsi="黑体" w:eastAsia="楷体_GB2312"/>
          <w:sz w:val="32"/>
          <w:szCs w:val="32"/>
        </w:rPr>
        <w:t xml:space="preserve"> ···································   </w:t>
      </w:r>
      <w:r>
        <w:rPr>
          <w:rFonts w:hint="eastAsia" w:ascii="仿宋_GB2312" w:eastAsia="仿宋_GB2312"/>
          <w:sz w:val="32"/>
          <w:szCs w:val="32"/>
        </w:rPr>
        <w:t xml:space="preserve"> 30分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4、强化物业管理职责,完善物业管理体制,加强行业管理力度,投诉及时处理率98%以上;</w:t>
      </w:r>
      <w:r>
        <w:rPr>
          <w:rFonts w:hint="eastAsia" w:ascii="楷体_GB2312" w:hAnsi="黑体" w:eastAsia="楷体_GB2312"/>
          <w:sz w:val="32"/>
          <w:szCs w:val="32"/>
        </w:rPr>
        <w:t xml:space="preserve"> ··············</w:t>
      </w:r>
      <w:r>
        <w:rPr>
          <w:rFonts w:hint="eastAsia" w:ascii="仿宋_GB2312" w:eastAsia="仿宋_GB2312"/>
          <w:sz w:val="32"/>
          <w:szCs w:val="32"/>
        </w:rPr>
        <w:t xml:space="preserve"> 30分</w:t>
      </w:r>
    </w:p>
    <w:p>
      <w:pPr>
        <w:ind w:firstLine="480" w:firstLineChars="150"/>
        <w:rPr>
          <w:rFonts w:ascii="黑体" w:hAnsi="黑体" w:eastAsia="黑体"/>
          <w:sz w:val="32"/>
          <w:szCs w:val="32"/>
        </w:rPr>
      </w:pPr>
    </w:p>
    <w:p>
      <w:pPr>
        <w:ind w:firstLine="480" w:firstLineChars="150"/>
        <w:rPr>
          <w:rFonts w:ascii="黑体" w:hAnsi="黑体" w:eastAsia="黑体"/>
          <w:sz w:val="32"/>
          <w:szCs w:val="32"/>
        </w:rPr>
      </w:pPr>
    </w:p>
    <w:p>
      <w:pPr>
        <w:ind w:firstLine="480" w:firstLineChars="150"/>
        <w:rPr>
          <w:rFonts w:ascii="黑体" w:hAnsi="黑体" w:eastAsia="黑体"/>
          <w:sz w:val="32"/>
          <w:szCs w:val="32"/>
        </w:rPr>
      </w:pPr>
    </w:p>
    <w:p>
      <w:pPr>
        <w:ind w:firstLine="480" w:firstLineChars="150"/>
        <w:rPr>
          <w:rFonts w:ascii="黑体" w:hAnsi="黑体" w:eastAsia="黑体"/>
          <w:sz w:val="32"/>
          <w:szCs w:val="32"/>
        </w:rPr>
      </w:pPr>
    </w:p>
    <w:p>
      <w:pPr>
        <w:ind w:firstLine="480" w:firstLineChars="150"/>
        <w:rPr>
          <w:rFonts w:ascii="黑体" w:hAnsi="黑体" w:eastAsia="黑体"/>
          <w:sz w:val="32"/>
          <w:szCs w:val="32"/>
        </w:rPr>
      </w:pPr>
    </w:p>
    <w:p>
      <w:pPr>
        <w:ind w:firstLine="480" w:firstLineChars="150"/>
        <w:rPr>
          <w:rFonts w:ascii="黑体" w:hAnsi="黑体" w:eastAsia="黑体"/>
          <w:sz w:val="32"/>
          <w:szCs w:val="32"/>
        </w:rPr>
      </w:pPr>
    </w:p>
    <w:p>
      <w:pPr>
        <w:ind w:firstLine="480" w:firstLineChars="150"/>
        <w:rPr>
          <w:rFonts w:ascii="黑体" w:hAnsi="黑体" w:eastAsia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32E38"/>
    <w:rsid w:val="002E7111"/>
    <w:rsid w:val="00360167"/>
    <w:rsid w:val="00445EA7"/>
    <w:rsid w:val="008B0C40"/>
    <w:rsid w:val="00A77E7A"/>
    <w:rsid w:val="00D32E38"/>
    <w:rsid w:val="466E5694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222</Words>
  <Characters>1267</Characters>
  <Lines>10</Lines>
  <Paragraphs>2</Paragraphs>
  <TotalTime>0</TotalTime>
  <ScaleCrop>false</ScaleCrop>
  <LinksUpToDate>false</LinksUpToDate>
  <CharactersWithSpaces>1487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2017-01-03T09:54:00Z</dcterms:created>
  <dc:creator>lenovo</dc:creator>
  <cp:lastModifiedBy>Administrator</cp:lastModifiedBy>
  <cp:lastPrinted>2017-01-04T01:13:52Z</cp:lastPrinted>
  <dcterms:modified xsi:type="dcterms:W3CDTF">2017-01-04T01:14:45Z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